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635A2" w:rsidR="002C2E29" w:rsidP="00E635A2" w:rsidRDefault="004033D8" w14:paraId="7F6961A1" w14:textId="77777777">
      <w:pPr>
        <w:jc w:val="right"/>
        <w:rPr>
          <w:rFonts w:cs="David"/>
          <w:b/>
          <w:bCs/>
          <w:sz w:val="20"/>
          <w:szCs w:val="20"/>
        </w:rPr>
      </w:pPr>
      <w:r w:rsidRPr="00E635A2">
        <w:rPr>
          <w:rFonts w:hint="cs" w:cs="David"/>
          <w:sz w:val="20"/>
          <w:szCs w:val="20"/>
          <w:rtl/>
        </w:rPr>
        <w:t xml:space="preserve">מספר פנימי: </w:t>
      </w:r>
      <w:bookmarkStart w:name="LGS_Internal_ID" w:id="0"/>
      <w:r>
        <w:rPr>
          <w:rFonts w:hint="cs" w:cs="David"/>
          <w:sz w:val="20"/>
          <w:szCs w:val="20"/>
          <w:rtl/>
        </w:rPr>
        <w:t>2196751</w:t>
      </w:r>
      <w:bookmarkEnd w:id="0"/>
    </w:p>
    <w:p w:rsidRPr="00DB7060" w:rsidR="00E13C27" w:rsidP="00A443CF" w:rsidRDefault="00E13C27" w14:paraId="7F6961A2" w14:textId="53D639AE">
      <w:pPr>
        <w:pStyle w:val="HeadHatzaotHok"/>
        <w:rPr>
          <w:sz w:val="28"/>
          <w:szCs w:val="28"/>
          <w:rtl/>
        </w:rPr>
      </w:pPr>
      <w:r w:rsidRPr="00DB7060">
        <w:rPr>
          <w:rFonts w:hint="cs"/>
          <w:sz w:val="28"/>
          <w:szCs w:val="28"/>
          <w:rtl/>
        </w:rPr>
        <w:t xml:space="preserve">הכנסת </w:t>
      </w:r>
      <w:bookmarkStart w:name="LGS_Knesset_Num" w:id="1"/>
      <w:r>
        <w:rPr>
          <w:rFonts w:hint="cs"/>
          <w:sz w:val="28"/>
          <w:szCs w:val="28"/>
          <w:rtl/>
        </w:rPr>
        <w:t>העשרים וחמש</w:t>
      </w:r>
      <w:bookmarkEnd w:id="1"/>
    </w:p>
    <w:p w:rsidRPr="00F67051" w:rsidR="00E13C27" w:rsidP="00E13C27" w:rsidRDefault="00E13C27" w14:paraId="7F6961A3" w14:textId="77777777">
      <w:pPr>
        <w:rPr>
          <w:rFonts w:cs="David"/>
          <w:b/>
          <w:bCs/>
          <w:sz w:val="26"/>
          <w:szCs w:val="26"/>
          <w:rtl/>
        </w:rPr>
      </w:pPr>
    </w:p>
    <w:p w:rsidR="00E13C27" w:rsidP="00930EFE" w:rsidRDefault="008F6665" w14:paraId="7F6961A6" w14:textId="77777777">
      <w:pPr>
        <w:pStyle w:val="David"/>
        <w:spacing w:line="360" w:lineRule="auto"/>
        <w:ind w:left="3544"/>
        <w:rPr>
          <w:b/>
          <w:bCs/>
          <w:rtl/>
        </w:rPr>
      </w:pPr>
      <w:bookmarkStart w:name="LGS_Initiators_List" w:id="2"/>
      <w:r>
        <w:rPr>
          <w:b/>
          <w:bCs/>
          <w:rtl/>
        </w:rPr>
        <w:t>יוזמים:      חברי הכנסת</w:t>
      </w:r>
      <w:bookmarkEnd w:id="2"/>
      <w:r w:rsidRPr="00F67051" w:rsidR="00B35784">
        <w:rPr>
          <w:b/>
          <w:bCs/>
        </w:rPr>
        <w:tab/>
      </w:r>
      <w:bookmarkStart w:name="LGS_PM_Names" w:id="3"/>
      <w:r>
        <w:rPr>
          <w:rFonts w:hint="cs"/>
          <w:b/>
          <w:bCs/>
          <w:rtl/>
        </w:rPr>
        <w:t>עאידה תומא סלימאן</w:t>
      </w:r>
      <w:r>
        <w:br/>
      </w:r>
      <w:r>
        <w:rPr>
          <w:rFonts w:hint="cs"/>
          <w:b/>
          <w:bCs/>
          <w:rtl/>
        </w:rPr>
        <w:t xml:space="preserve"> </w:t>
      </w:r>
      <w:r>
        <w:tab/>
      </w:r>
      <w:r>
        <w:tab/>
      </w:r>
      <w:r>
        <w:tab/>
      </w:r>
      <w:r>
        <w:tab/>
      </w:r>
      <w:r>
        <w:rPr>
          <w:rFonts w:hint="cs"/>
          <w:b/>
          <w:bCs/>
          <w:rtl/>
        </w:rPr>
        <w:t>איימן עודה</w:t>
      </w:r>
      <w:r>
        <w:br/>
      </w:r>
      <w:r>
        <w:rPr>
          <w:rFonts w:hint="cs"/>
          <w:b/>
          <w:bCs/>
          <w:rtl/>
        </w:rPr>
        <w:t xml:space="preserve"> </w:t>
      </w:r>
      <w:r>
        <w:tab/>
      </w:r>
      <w:r>
        <w:tab/>
      </w:r>
      <w:r>
        <w:tab/>
      </w:r>
      <w:r>
        <w:tab/>
      </w:r>
      <w:r>
        <w:rPr>
          <w:rFonts w:hint="cs"/>
          <w:b/>
          <w:bCs/>
          <w:rtl/>
        </w:rPr>
        <w:t>יוסף עטאונה</w:t>
      </w:r>
      <w:r>
        <w:br/>
      </w:r>
      <w:r>
        <w:rPr>
          <w:rFonts w:hint="cs"/>
          <w:b/>
          <w:bCs/>
          <w:rtl/>
        </w:rPr>
        <w:t xml:space="preserve"> </w:t>
      </w:r>
      <w:r>
        <w:tab/>
      </w:r>
      <w:r>
        <w:tab/>
      </w:r>
      <w:r>
        <w:tab/>
      </w:r>
      <w:r>
        <w:tab/>
      </w:r>
      <w:r>
        <w:rPr>
          <w:rFonts w:hint="cs"/>
          <w:b/>
          <w:bCs/>
          <w:rtl/>
        </w:rPr>
        <w:t>עופר כסיף</w:t>
      </w:r>
      <w:r>
        <w:br/>
      </w:r>
      <w:r>
        <w:rPr>
          <w:rFonts w:hint="cs"/>
          <w:b/>
          <w:bCs/>
          <w:rtl/>
        </w:rPr>
        <w:t xml:space="preserve"> </w:t>
      </w:r>
      <w:r>
        <w:tab/>
      </w:r>
      <w:r>
        <w:tab/>
      </w:r>
      <w:r>
        <w:tab/>
      </w:r>
      <w:r>
        <w:tab/>
      </w:r>
      <w:r>
        <w:rPr>
          <w:rFonts w:hint="cs"/>
          <w:b/>
          <w:bCs/>
          <w:rtl/>
        </w:rPr>
        <w:t>אחמד טיבי</w:t>
      </w:r>
      <w:bookmarkEnd w:id="3"/>
    </w:p>
    <w:p w:rsidRPr="00CF1AA2" w:rsidR="00E13C27" w:rsidP="0036422C" w:rsidRDefault="007D585A" w14:paraId="7F6961AA" w14:textId="39F9D96B">
      <w:pPr>
        <w:pStyle w:val="David"/>
        <w:spacing w:before="0" w:line="360" w:lineRule="auto"/>
        <w:ind w:left="3544"/>
        <w:rPr>
          <w:b/>
          <w:bCs/>
          <w:sz w:val="16"/>
          <w:szCs w:val="16"/>
          <w:rtl/>
        </w:rPr>
      </w:pPr>
      <w:bookmarkStart w:name="LGS_Join_List" w:id="4"/>
      <w:r>
        <w:rPr>
          <w:rtl/>
        </w:rPr>
        <w:t xml:space="preserve"> </w:t>
      </w:r>
      <w:bookmarkEnd w:id="4"/>
      <w:r w:rsidRPr="00CF1AA2" w:rsidR="002200A1">
        <w:rPr>
          <w:rFonts w:hint="cs"/>
          <w:rtl/>
        </w:rPr>
        <w:tab/>
      </w:r>
      <w:bookmarkStart w:name="LGS_PM_NamesJoin" w:id="5"/>
      <w:r>
        <w:rPr>
          <w:rFonts w:hint="cs"/>
          <w:rtl/>
        </w:rPr>
        <w:t xml:space="preserve"> </w:t>
      </w:r>
      <w:bookmarkEnd w:id="5"/>
    </w:p>
    <w:p w:rsidRPr="00904591" w:rsidR="00904591" w:rsidP="0036422C" w:rsidRDefault="00266D86" w14:paraId="34DB4103" w14:textId="77777777">
      <w:pPr>
        <w:pStyle w:val="David"/>
        <w:spacing w:before="0" w:line="360" w:lineRule="auto"/>
        <w:ind w:left="3544"/>
        <w:rPr>
          <w:sz w:val="4"/>
          <w:szCs w:val="4"/>
          <w:rtl/>
        </w:rPr>
      </w:pPr>
      <w:r>
        <w:t>____</w:t>
      </w:r>
      <w:r w:rsidR="00E374F2">
        <w:t>__</w:t>
      </w:r>
      <w:r>
        <w:t>________________________________________</w:t>
      </w:r>
      <w:r w:rsidRPr="00E06736" w:rsidR="00E06736">
        <w:tab/>
      </w:r>
      <w:r w:rsidRPr="00E06736" w:rsidR="00E13C27">
        <w:rPr>
          <w:rFonts w:hint="cs"/>
          <w:rtl/>
        </w:rPr>
        <w:tab/>
      </w:r>
      <w:r w:rsidRPr="00E06736" w:rsidR="00E13C27">
        <w:rPr>
          <w:rFonts w:hint="cs"/>
          <w:rtl/>
        </w:rPr>
        <w:tab/>
      </w:r>
      <w:r w:rsidRPr="00E06736" w:rsidR="00E13C27">
        <w:rPr>
          <w:rFonts w:hint="cs"/>
          <w:rtl/>
        </w:rPr>
        <w:tab/>
      </w:r>
      <w:r w:rsidR="00904591">
        <w:t xml:space="preserve">           </w:t>
      </w:r>
    </w:p>
    <w:p w:rsidRPr="00E06736" w:rsidR="00E13C27" w:rsidP="00904591" w:rsidRDefault="00904591" w14:paraId="7F6961AB" w14:textId="256138AA">
      <w:pPr>
        <w:pStyle w:val="David"/>
        <w:spacing w:before="0" w:line="240" w:lineRule="auto"/>
        <w:ind w:left="3544"/>
        <w:rPr>
          <w:rtl/>
        </w:rPr>
      </w:pPr>
      <w:r>
        <w:t xml:space="preserve">                                            </w:t>
      </w:r>
      <w:r w:rsidR="008F1308">
        <w:t xml:space="preserve"> </w:t>
      </w:r>
      <w:bookmarkStart w:name="Private_Number" w:id="6"/>
      <w:r>
        <w:rPr>
          <w:rFonts w:hint="cs"/>
          <w:rtl/>
        </w:rPr>
        <w:t>פ/362/25</w:t>
      </w:r>
      <w:bookmarkEnd w:id="6"/>
    </w:p>
    <w:p w:rsidRPr="00F67051" w:rsidR="00E13C27" w:rsidP="0021633A" w:rsidRDefault="00A443CF" w14:paraId="7F6961AD" w14:textId="77777777">
      <w:pPr>
        <w:pStyle w:val="HeadHatzaotHok"/>
        <w:rPr>
          <w:rtl/>
        </w:rPr>
      </w:pPr>
      <w:bookmarkStart w:name="LGS_Subject" w:id="7"/>
      <w:r>
        <w:rPr>
          <w:rFonts w:hint="cs"/>
          <w:rtl/>
        </w:rPr>
        <w:t>הצעת חוק העונשין (תיקון – חלופת מאסר לנשים הרות ולאמהות), התשפ"ג–2022</w:t>
      </w:r>
      <w:bookmarkEnd w:id="7"/>
    </w:p>
    <w:tbl>
      <w:tblPr>
        <w:bidiVisual/>
        <w:tblW w:w="9641"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624"/>
        <w:gridCol w:w="624"/>
        <w:gridCol w:w="624"/>
        <w:gridCol w:w="624"/>
        <w:gridCol w:w="624"/>
        <w:gridCol w:w="4026"/>
      </w:tblGrid>
      <w:tr w:rsidR="005214FF" w:rsidTr="00E75D66" w14:paraId="00641D6E" w14:textId="77777777">
        <w:trPr>
          <w:cantSplit/>
          <w:trHeight w:val="60"/>
        </w:trPr>
        <w:tc>
          <w:tcPr>
            <w:tcW w:w="1871" w:type="dxa"/>
            <w:hideMark/>
          </w:tcPr>
          <w:p w:rsidR="005214FF" w:rsidP="00E75D66" w:rsidRDefault="005214FF" w14:paraId="5F7512D6" w14:textId="77777777">
            <w:pPr>
              <w:pStyle w:val="TableSideHeading"/>
              <w:keepLines w:val="0"/>
            </w:pPr>
            <w:r>
              <w:rPr>
                <w:rtl/>
              </w:rPr>
              <w:t>הוספת סעיף 36א</w:t>
            </w:r>
          </w:p>
        </w:tc>
        <w:tc>
          <w:tcPr>
            <w:tcW w:w="624" w:type="dxa"/>
            <w:hideMark/>
          </w:tcPr>
          <w:p w:rsidR="005214FF" w:rsidP="00E75D66" w:rsidRDefault="005214FF" w14:paraId="296096C7" w14:textId="77777777">
            <w:pPr>
              <w:pStyle w:val="TableText"/>
              <w:rPr>
                <w:rtl/>
              </w:rPr>
            </w:pPr>
            <w:r>
              <w:rPr>
                <w:rtl/>
              </w:rPr>
              <w:t>1.</w:t>
            </w:r>
          </w:p>
        </w:tc>
        <w:tc>
          <w:tcPr>
            <w:tcW w:w="7146" w:type="dxa"/>
            <w:gridSpan w:val="6"/>
            <w:hideMark/>
          </w:tcPr>
          <w:p w:rsidR="005214FF" w:rsidP="00E75D66" w:rsidRDefault="005214FF" w14:paraId="79850D82" w14:textId="77777777">
            <w:pPr>
              <w:pStyle w:val="TableBlock"/>
              <w:keepLines w:val="0"/>
              <w:rPr>
                <w:rtl/>
              </w:rPr>
            </w:pPr>
            <w:r>
              <w:rPr>
                <w:rtl/>
              </w:rPr>
              <w:t>בחוק העונשין, התשל"ז–1977</w:t>
            </w:r>
            <w:r>
              <w:rPr>
                <w:rStyle w:val="a6"/>
                <w:rtl/>
              </w:rPr>
              <w:footnoteReference w:id="2"/>
            </w:r>
            <w:r>
              <w:rPr>
                <w:rtl/>
              </w:rPr>
              <w:t>, אחרי סעיף 36 יבוא:</w:t>
            </w:r>
          </w:p>
        </w:tc>
      </w:tr>
      <w:tr w:rsidR="005214FF" w:rsidTr="00E75D66" w14:paraId="64B53E80" w14:textId="77777777">
        <w:trPr>
          <w:cantSplit/>
          <w:trHeight w:val="60"/>
        </w:trPr>
        <w:tc>
          <w:tcPr>
            <w:tcW w:w="1871" w:type="dxa"/>
          </w:tcPr>
          <w:p w:rsidR="005214FF" w:rsidP="00E75D66" w:rsidRDefault="005214FF" w14:paraId="1BC9B957" w14:textId="77777777">
            <w:pPr>
              <w:pStyle w:val="TableSideHeading"/>
              <w:keepLines w:val="0"/>
              <w:rPr>
                <w:rtl/>
              </w:rPr>
            </w:pPr>
          </w:p>
        </w:tc>
        <w:tc>
          <w:tcPr>
            <w:tcW w:w="624" w:type="dxa"/>
          </w:tcPr>
          <w:p w:rsidR="005214FF" w:rsidP="00E75D66" w:rsidRDefault="005214FF" w14:paraId="24D7F0D0" w14:textId="77777777">
            <w:pPr>
              <w:pStyle w:val="TableText"/>
              <w:keepLines w:val="0"/>
            </w:pPr>
          </w:p>
        </w:tc>
        <w:tc>
          <w:tcPr>
            <w:tcW w:w="1872" w:type="dxa"/>
            <w:gridSpan w:val="3"/>
            <w:hideMark/>
          </w:tcPr>
          <w:p w:rsidR="005214FF" w:rsidP="00E75D66" w:rsidRDefault="005214FF" w14:paraId="0B3E11E4" w14:textId="77777777">
            <w:pPr>
              <w:pStyle w:val="TableInnerSideHeading"/>
            </w:pPr>
            <w:r>
              <w:rPr>
                <w:rtl/>
              </w:rPr>
              <w:t>"חלופת מאסר לנשים אסירות</w:t>
            </w:r>
          </w:p>
        </w:tc>
        <w:tc>
          <w:tcPr>
            <w:tcW w:w="624" w:type="dxa"/>
            <w:hideMark/>
          </w:tcPr>
          <w:p w:rsidR="005214FF" w:rsidP="00E75D66" w:rsidRDefault="005214FF" w14:paraId="6740FF63" w14:textId="77777777">
            <w:pPr>
              <w:pStyle w:val="TableText"/>
            </w:pPr>
            <w:r>
              <w:rPr>
                <w:rtl/>
              </w:rPr>
              <w:t>36א.</w:t>
            </w:r>
          </w:p>
        </w:tc>
        <w:tc>
          <w:tcPr>
            <w:tcW w:w="4650" w:type="dxa"/>
            <w:gridSpan w:val="2"/>
            <w:hideMark/>
          </w:tcPr>
          <w:p w:rsidR="005214FF" w:rsidP="00E75D66" w:rsidRDefault="005214FF" w14:paraId="43927592" w14:textId="77777777">
            <w:pPr>
              <w:pStyle w:val="TableBlock"/>
            </w:pPr>
            <w:r>
              <w:rPr>
                <w:rtl/>
              </w:rPr>
              <w:t xml:space="preserve">(א) </w:t>
            </w:r>
            <w:r>
              <w:rPr>
                <w:rtl/>
              </w:rPr>
              <w:tab/>
              <w:t>הורשעה אישה הרה או אמא לילדים ובית המשפט גזר עליה מאסר בפועל, רשאי בית המשפט לקבוע כי ריצוי העונש כולו או מקצתו יתבצע בחלופת מאסר, לאחר קבלת חוות דעת מוועדה מיוחדת שתוקם לצורך העניין ובכפוף לאמור בתקנות.</w:t>
            </w:r>
          </w:p>
        </w:tc>
      </w:tr>
      <w:tr w:rsidR="009C7E62" w:rsidTr="00E75D66" w14:paraId="3A6BC223" w14:textId="77777777">
        <w:trPr>
          <w:cantSplit/>
          <w:trHeight w:val="60"/>
        </w:trPr>
        <w:tc>
          <w:tcPr>
            <w:tcW w:w="1871" w:type="dxa"/>
          </w:tcPr>
          <w:p w:rsidR="009C7E62" w:rsidP="009C7E62" w:rsidRDefault="009C7E62" w14:paraId="1CE3E33B" w14:textId="2200B40E">
            <w:pPr>
              <w:pStyle w:val="TableSideHeading"/>
              <w:rPr>
                <w:rtl/>
              </w:rPr>
            </w:pPr>
          </w:p>
        </w:tc>
        <w:tc>
          <w:tcPr>
            <w:tcW w:w="624" w:type="dxa"/>
          </w:tcPr>
          <w:p w:rsidR="009C7E62" w:rsidP="009C7E62" w:rsidRDefault="009C7E62" w14:paraId="6D91062E" w14:textId="77777777">
            <w:pPr>
              <w:pStyle w:val="TableText"/>
            </w:pPr>
          </w:p>
        </w:tc>
        <w:tc>
          <w:tcPr>
            <w:tcW w:w="624" w:type="dxa"/>
          </w:tcPr>
          <w:p w:rsidR="009C7E62" w:rsidP="009C7E62" w:rsidRDefault="009C7E62" w14:paraId="6FA6F1F1" w14:textId="77777777">
            <w:pPr>
              <w:pStyle w:val="TableText"/>
            </w:pPr>
          </w:p>
        </w:tc>
        <w:tc>
          <w:tcPr>
            <w:tcW w:w="624" w:type="dxa"/>
          </w:tcPr>
          <w:p w:rsidR="009C7E62" w:rsidP="009C7E62" w:rsidRDefault="009C7E62" w14:paraId="729CA5A8" w14:textId="77777777">
            <w:pPr>
              <w:pStyle w:val="TableText"/>
            </w:pPr>
          </w:p>
        </w:tc>
        <w:tc>
          <w:tcPr>
            <w:tcW w:w="624" w:type="dxa"/>
          </w:tcPr>
          <w:p w:rsidR="009C7E62" w:rsidP="009C7E62" w:rsidRDefault="009C7E62" w14:paraId="7E8C08A7" w14:textId="77777777">
            <w:pPr>
              <w:pStyle w:val="TableText"/>
            </w:pPr>
          </w:p>
        </w:tc>
        <w:tc>
          <w:tcPr>
            <w:tcW w:w="624" w:type="dxa"/>
          </w:tcPr>
          <w:p w:rsidR="009C7E62" w:rsidP="009C7E62" w:rsidRDefault="009C7E62" w14:paraId="5D34DACA" w14:textId="77777777">
            <w:pPr>
              <w:pStyle w:val="TableText"/>
            </w:pPr>
          </w:p>
        </w:tc>
        <w:tc>
          <w:tcPr>
            <w:tcW w:w="4650" w:type="dxa"/>
            <w:gridSpan w:val="2"/>
          </w:tcPr>
          <w:p w:rsidRPr="009C7E62" w:rsidR="009C7E62" w:rsidP="009C7E62" w:rsidRDefault="009C7E62" w14:paraId="4FBA556B" w14:textId="6ABAF973">
            <w:pPr>
              <w:pStyle w:val="TableBlock"/>
              <w:rPr>
                <w:rtl/>
              </w:rPr>
            </w:pPr>
            <w:r w:rsidRPr="009C7E62">
              <w:rPr>
                <w:rtl/>
              </w:rPr>
              <w:t xml:space="preserve">(ב) </w:t>
            </w:r>
            <w:r w:rsidRPr="009C7E62">
              <w:rPr>
                <w:rtl/>
              </w:rPr>
              <w:tab/>
              <w:t>נקבע על ידי בית המשפט כי אישה תרצה את עונשה כולו או מקצתו בחלופת מאסר, כאמור בסעיף קטן (א), תעשה כן במוסד שינוהל על ידי הרשות לשיקום האסיר ובפיקוח משרד העבודה, הרווחה והשירותים החברתיים.</w:t>
            </w:r>
          </w:p>
        </w:tc>
      </w:tr>
      <w:tr w:rsidR="009C7E62" w:rsidTr="00E75D66" w14:paraId="68535005" w14:textId="77777777">
        <w:trPr>
          <w:cantSplit/>
          <w:trHeight w:val="60"/>
        </w:trPr>
        <w:tc>
          <w:tcPr>
            <w:tcW w:w="1871" w:type="dxa"/>
          </w:tcPr>
          <w:p w:rsidR="009C7E62" w:rsidP="009C7E62" w:rsidRDefault="009C7E62" w14:paraId="46ED2A2C" w14:textId="77777777">
            <w:pPr>
              <w:pStyle w:val="TableSideHeading"/>
              <w:rPr>
                <w:rtl/>
              </w:rPr>
            </w:pPr>
          </w:p>
        </w:tc>
        <w:tc>
          <w:tcPr>
            <w:tcW w:w="624" w:type="dxa"/>
          </w:tcPr>
          <w:p w:rsidR="009C7E62" w:rsidP="009C7E62" w:rsidRDefault="009C7E62" w14:paraId="1377AFEE" w14:textId="77777777">
            <w:pPr>
              <w:pStyle w:val="TableText"/>
            </w:pPr>
          </w:p>
        </w:tc>
        <w:tc>
          <w:tcPr>
            <w:tcW w:w="624" w:type="dxa"/>
          </w:tcPr>
          <w:p w:rsidR="009C7E62" w:rsidP="009C7E62" w:rsidRDefault="009C7E62" w14:paraId="71A4FE0C" w14:textId="77777777">
            <w:pPr>
              <w:pStyle w:val="TableText"/>
            </w:pPr>
          </w:p>
        </w:tc>
        <w:tc>
          <w:tcPr>
            <w:tcW w:w="624" w:type="dxa"/>
          </w:tcPr>
          <w:p w:rsidR="009C7E62" w:rsidP="009C7E62" w:rsidRDefault="009C7E62" w14:paraId="61B3023A" w14:textId="77777777">
            <w:pPr>
              <w:pStyle w:val="TableText"/>
            </w:pPr>
          </w:p>
        </w:tc>
        <w:tc>
          <w:tcPr>
            <w:tcW w:w="624" w:type="dxa"/>
          </w:tcPr>
          <w:p w:rsidR="009C7E62" w:rsidP="009C7E62" w:rsidRDefault="009C7E62" w14:paraId="2B694C41" w14:textId="77777777">
            <w:pPr>
              <w:pStyle w:val="TableText"/>
            </w:pPr>
          </w:p>
        </w:tc>
        <w:tc>
          <w:tcPr>
            <w:tcW w:w="624" w:type="dxa"/>
          </w:tcPr>
          <w:p w:rsidR="009C7E62" w:rsidP="009C7E62" w:rsidRDefault="009C7E62" w14:paraId="019F23A6" w14:textId="77777777">
            <w:pPr>
              <w:pStyle w:val="TableText"/>
            </w:pPr>
          </w:p>
        </w:tc>
        <w:tc>
          <w:tcPr>
            <w:tcW w:w="4650" w:type="dxa"/>
            <w:gridSpan w:val="2"/>
            <w:hideMark/>
          </w:tcPr>
          <w:p w:rsidR="009C7E62" w:rsidP="009C7E62" w:rsidRDefault="009C7E62" w14:paraId="51273619" w14:textId="7559DF58">
            <w:pPr>
              <w:pStyle w:val="TableHead"/>
              <w:jc w:val="both"/>
              <w:rPr>
                <w:b w:val="0"/>
                <w:bCs w:val="0"/>
              </w:rPr>
            </w:pPr>
            <w:r>
              <w:rPr>
                <w:b w:val="0"/>
                <w:bCs w:val="0"/>
                <w:rtl/>
              </w:rPr>
              <w:t xml:space="preserve">(ג) </w:t>
            </w:r>
            <w:r>
              <w:rPr>
                <w:b w:val="0"/>
                <w:bCs w:val="0"/>
                <w:rtl/>
              </w:rPr>
              <w:tab/>
              <w:t>שר המשפטים, בהתייעצות עם שר העבודה, הרווחה והשירותים החברתיים, ובאישור ועדת חוקה, חוק ומשפט של הכנסת, יקים ועדה מיוחדת לעניין סעיף זה שהרכבה יהיה כאמור בסעיף קטן (ד).</w:t>
            </w:r>
          </w:p>
        </w:tc>
      </w:tr>
      <w:tr w:rsidR="009C7E62" w:rsidTr="00E75D66" w14:paraId="2DFEE590" w14:textId="77777777">
        <w:trPr>
          <w:cantSplit/>
          <w:trHeight w:val="60"/>
        </w:trPr>
        <w:tc>
          <w:tcPr>
            <w:tcW w:w="1871" w:type="dxa"/>
          </w:tcPr>
          <w:p w:rsidR="009C7E62" w:rsidP="009C7E62" w:rsidRDefault="009C7E62" w14:paraId="5F31CD8B" w14:textId="77777777">
            <w:pPr>
              <w:pStyle w:val="TableSideHeading"/>
              <w:rPr>
                <w:rtl/>
              </w:rPr>
            </w:pPr>
          </w:p>
        </w:tc>
        <w:tc>
          <w:tcPr>
            <w:tcW w:w="624" w:type="dxa"/>
          </w:tcPr>
          <w:p w:rsidR="009C7E62" w:rsidP="009C7E62" w:rsidRDefault="009C7E62" w14:paraId="14A745C2" w14:textId="77777777">
            <w:pPr>
              <w:pStyle w:val="TableText"/>
            </w:pPr>
          </w:p>
        </w:tc>
        <w:tc>
          <w:tcPr>
            <w:tcW w:w="624" w:type="dxa"/>
          </w:tcPr>
          <w:p w:rsidR="009C7E62" w:rsidP="009C7E62" w:rsidRDefault="009C7E62" w14:paraId="702BEB68" w14:textId="77777777">
            <w:pPr>
              <w:pStyle w:val="TableText"/>
            </w:pPr>
          </w:p>
        </w:tc>
        <w:tc>
          <w:tcPr>
            <w:tcW w:w="624" w:type="dxa"/>
          </w:tcPr>
          <w:p w:rsidR="009C7E62" w:rsidP="009C7E62" w:rsidRDefault="009C7E62" w14:paraId="5FF2DD01" w14:textId="77777777">
            <w:pPr>
              <w:pStyle w:val="TableText"/>
            </w:pPr>
          </w:p>
        </w:tc>
        <w:tc>
          <w:tcPr>
            <w:tcW w:w="624" w:type="dxa"/>
          </w:tcPr>
          <w:p w:rsidR="009C7E62" w:rsidP="009C7E62" w:rsidRDefault="009C7E62" w14:paraId="031562AF" w14:textId="77777777">
            <w:pPr>
              <w:pStyle w:val="TableText"/>
            </w:pPr>
          </w:p>
        </w:tc>
        <w:tc>
          <w:tcPr>
            <w:tcW w:w="624" w:type="dxa"/>
          </w:tcPr>
          <w:p w:rsidR="009C7E62" w:rsidP="009C7E62" w:rsidRDefault="009C7E62" w14:paraId="66777597" w14:textId="77777777">
            <w:pPr>
              <w:pStyle w:val="TableText"/>
            </w:pPr>
          </w:p>
        </w:tc>
        <w:tc>
          <w:tcPr>
            <w:tcW w:w="4650" w:type="dxa"/>
            <w:gridSpan w:val="2"/>
            <w:hideMark/>
          </w:tcPr>
          <w:p w:rsidR="009C7E62" w:rsidP="009C7E62" w:rsidRDefault="009C7E62" w14:paraId="0FE70D88" w14:textId="77777777">
            <w:pPr>
              <w:pStyle w:val="TableHead"/>
              <w:jc w:val="both"/>
              <w:rPr>
                <w:b w:val="0"/>
                <w:bCs w:val="0"/>
              </w:rPr>
            </w:pPr>
            <w:r>
              <w:rPr>
                <w:b w:val="0"/>
                <w:bCs w:val="0"/>
                <w:rtl/>
              </w:rPr>
              <w:t xml:space="preserve">(ד) </w:t>
            </w:r>
            <w:r>
              <w:rPr>
                <w:b w:val="0"/>
                <w:bCs w:val="0"/>
                <w:rtl/>
              </w:rPr>
              <w:tab/>
              <w:t>הרכב הוועדה המיוחדת יהיה כדלקמן:</w:t>
            </w:r>
          </w:p>
        </w:tc>
      </w:tr>
      <w:tr w:rsidR="009C7E62" w:rsidTr="00E75D66" w14:paraId="454D7242" w14:textId="77777777">
        <w:trPr>
          <w:cantSplit/>
          <w:trHeight w:val="60"/>
        </w:trPr>
        <w:tc>
          <w:tcPr>
            <w:tcW w:w="1871" w:type="dxa"/>
          </w:tcPr>
          <w:p w:rsidR="009C7E62" w:rsidP="009C7E62" w:rsidRDefault="009C7E62" w14:paraId="26B97FE9" w14:textId="77777777">
            <w:pPr>
              <w:pStyle w:val="TableSideHeading"/>
              <w:rPr>
                <w:rtl/>
              </w:rPr>
            </w:pPr>
          </w:p>
        </w:tc>
        <w:tc>
          <w:tcPr>
            <w:tcW w:w="624" w:type="dxa"/>
          </w:tcPr>
          <w:p w:rsidR="009C7E62" w:rsidP="009C7E62" w:rsidRDefault="009C7E62" w14:paraId="356CC2C5" w14:textId="77777777">
            <w:pPr>
              <w:pStyle w:val="TableText"/>
            </w:pPr>
          </w:p>
        </w:tc>
        <w:tc>
          <w:tcPr>
            <w:tcW w:w="624" w:type="dxa"/>
          </w:tcPr>
          <w:p w:rsidR="009C7E62" w:rsidP="009C7E62" w:rsidRDefault="009C7E62" w14:paraId="2878D117" w14:textId="77777777">
            <w:pPr>
              <w:pStyle w:val="TableText"/>
            </w:pPr>
          </w:p>
        </w:tc>
        <w:tc>
          <w:tcPr>
            <w:tcW w:w="624" w:type="dxa"/>
          </w:tcPr>
          <w:p w:rsidR="009C7E62" w:rsidP="009C7E62" w:rsidRDefault="009C7E62" w14:paraId="3DFA2ACF" w14:textId="77777777">
            <w:pPr>
              <w:pStyle w:val="TableText"/>
            </w:pPr>
          </w:p>
        </w:tc>
        <w:tc>
          <w:tcPr>
            <w:tcW w:w="624" w:type="dxa"/>
          </w:tcPr>
          <w:p w:rsidR="009C7E62" w:rsidP="009C7E62" w:rsidRDefault="009C7E62" w14:paraId="41491DAB" w14:textId="77777777">
            <w:pPr>
              <w:pStyle w:val="TableText"/>
            </w:pPr>
          </w:p>
        </w:tc>
        <w:tc>
          <w:tcPr>
            <w:tcW w:w="624" w:type="dxa"/>
          </w:tcPr>
          <w:p w:rsidR="009C7E62" w:rsidP="009C7E62" w:rsidRDefault="009C7E62" w14:paraId="2D03F420" w14:textId="77777777">
            <w:pPr>
              <w:pStyle w:val="TableText"/>
            </w:pPr>
          </w:p>
        </w:tc>
        <w:tc>
          <w:tcPr>
            <w:tcW w:w="624" w:type="dxa"/>
          </w:tcPr>
          <w:p w:rsidR="009C7E62" w:rsidP="009C7E62" w:rsidRDefault="009C7E62" w14:paraId="0BB942A6" w14:textId="77777777">
            <w:pPr>
              <w:pStyle w:val="TableText"/>
            </w:pPr>
          </w:p>
        </w:tc>
        <w:tc>
          <w:tcPr>
            <w:tcW w:w="4026" w:type="dxa"/>
            <w:hideMark/>
          </w:tcPr>
          <w:p w:rsidR="009C7E62" w:rsidP="009C7E62" w:rsidRDefault="009C7E62" w14:paraId="5D3E97AB" w14:textId="77777777">
            <w:pPr>
              <w:pStyle w:val="TableHead"/>
              <w:jc w:val="both"/>
              <w:rPr>
                <w:b w:val="0"/>
                <w:bCs w:val="0"/>
              </w:rPr>
            </w:pPr>
            <w:r>
              <w:rPr>
                <w:b w:val="0"/>
                <w:bCs w:val="0"/>
                <w:rtl/>
              </w:rPr>
              <w:t xml:space="preserve">(1) </w:t>
            </w:r>
            <w:r>
              <w:rPr>
                <w:b w:val="0"/>
                <w:bCs w:val="0"/>
                <w:rtl/>
              </w:rPr>
              <w:tab/>
              <w:t>מי שכשיר להתמנות לשופט בית משפט שלום, אשר ימונה על ידי שר המשפטים והוא יכהן כיושב ראש הוועדה;</w:t>
            </w:r>
          </w:p>
        </w:tc>
      </w:tr>
      <w:tr w:rsidR="009C7E62" w:rsidTr="00E75D66" w14:paraId="218071A9" w14:textId="77777777">
        <w:trPr>
          <w:cantSplit/>
          <w:trHeight w:val="60"/>
        </w:trPr>
        <w:tc>
          <w:tcPr>
            <w:tcW w:w="1871" w:type="dxa"/>
          </w:tcPr>
          <w:p w:rsidR="009C7E62" w:rsidP="009C7E62" w:rsidRDefault="009C7E62" w14:paraId="47252079" w14:textId="77777777">
            <w:pPr>
              <w:pStyle w:val="TableSideHeading"/>
            </w:pPr>
          </w:p>
        </w:tc>
        <w:tc>
          <w:tcPr>
            <w:tcW w:w="624" w:type="dxa"/>
          </w:tcPr>
          <w:p w:rsidR="009C7E62" w:rsidP="009C7E62" w:rsidRDefault="009C7E62" w14:paraId="765B9B45" w14:textId="77777777">
            <w:pPr>
              <w:pStyle w:val="TableText"/>
              <w:rPr>
                <w:rtl/>
              </w:rPr>
            </w:pPr>
          </w:p>
        </w:tc>
        <w:tc>
          <w:tcPr>
            <w:tcW w:w="624" w:type="dxa"/>
          </w:tcPr>
          <w:p w:rsidR="009C7E62" w:rsidP="009C7E62" w:rsidRDefault="009C7E62" w14:paraId="336093B0" w14:textId="77777777">
            <w:pPr>
              <w:pStyle w:val="TableText"/>
            </w:pPr>
          </w:p>
        </w:tc>
        <w:tc>
          <w:tcPr>
            <w:tcW w:w="624" w:type="dxa"/>
          </w:tcPr>
          <w:p w:rsidR="009C7E62" w:rsidP="009C7E62" w:rsidRDefault="009C7E62" w14:paraId="1B0E96E3" w14:textId="77777777">
            <w:pPr>
              <w:pStyle w:val="TableText"/>
            </w:pPr>
          </w:p>
        </w:tc>
        <w:tc>
          <w:tcPr>
            <w:tcW w:w="624" w:type="dxa"/>
          </w:tcPr>
          <w:p w:rsidR="009C7E62" w:rsidP="009C7E62" w:rsidRDefault="009C7E62" w14:paraId="19BF550A" w14:textId="77777777">
            <w:pPr>
              <w:pStyle w:val="TableText"/>
            </w:pPr>
          </w:p>
        </w:tc>
        <w:tc>
          <w:tcPr>
            <w:tcW w:w="624" w:type="dxa"/>
          </w:tcPr>
          <w:p w:rsidR="009C7E62" w:rsidP="009C7E62" w:rsidRDefault="009C7E62" w14:paraId="5C2E1A8D" w14:textId="77777777">
            <w:pPr>
              <w:pStyle w:val="TableText"/>
            </w:pPr>
          </w:p>
        </w:tc>
        <w:tc>
          <w:tcPr>
            <w:tcW w:w="624" w:type="dxa"/>
          </w:tcPr>
          <w:p w:rsidR="009C7E62" w:rsidP="009C7E62" w:rsidRDefault="009C7E62" w14:paraId="6FBD7CB8" w14:textId="77777777">
            <w:pPr>
              <w:pStyle w:val="TableText"/>
            </w:pPr>
          </w:p>
        </w:tc>
        <w:tc>
          <w:tcPr>
            <w:tcW w:w="4026" w:type="dxa"/>
            <w:hideMark/>
          </w:tcPr>
          <w:p w:rsidR="009C7E62" w:rsidP="009C7E62" w:rsidRDefault="009C7E62" w14:paraId="53669574" w14:textId="77777777">
            <w:pPr>
              <w:pStyle w:val="TableHead"/>
              <w:jc w:val="both"/>
              <w:rPr>
                <w:b w:val="0"/>
                <w:bCs w:val="0"/>
              </w:rPr>
            </w:pPr>
            <w:r>
              <w:rPr>
                <w:rFonts w:ascii="Times New Roman" w:hAnsi="Times New Roman" w:eastAsia="Calibri"/>
                <w:b w:val="0"/>
                <w:bCs w:val="0"/>
                <w:color w:val="auto"/>
                <w:sz w:val="26"/>
                <w:rtl/>
                <w:lang w:eastAsia="en-US"/>
              </w:rPr>
              <w:t xml:space="preserve">(2) </w:t>
            </w:r>
            <w:r>
              <w:rPr>
                <w:rFonts w:ascii="Times New Roman" w:hAnsi="Times New Roman" w:eastAsia="Calibri"/>
                <w:b w:val="0"/>
                <w:bCs w:val="0"/>
                <w:color w:val="auto"/>
                <w:sz w:val="26"/>
                <w:rtl/>
                <w:lang w:eastAsia="en-US"/>
              </w:rPr>
              <w:tab/>
              <w:t>נציג מטעם הרשות לשיקום האסיר שימונה על ידי המנהל הכללי של הרשות לשיקום האסיר</w:t>
            </w:r>
            <w:r>
              <w:rPr>
                <w:b w:val="0"/>
                <w:bCs w:val="0"/>
                <w:rtl/>
              </w:rPr>
              <w:t>;</w:t>
            </w:r>
          </w:p>
        </w:tc>
      </w:tr>
      <w:tr w:rsidR="009C7E62" w:rsidTr="00E75D66" w14:paraId="08023674" w14:textId="77777777">
        <w:trPr>
          <w:cantSplit/>
          <w:trHeight w:val="60"/>
        </w:trPr>
        <w:tc>
          <w:tcPr>
            <w:tcW w:w="1871" w:type="dxa"/>
          </w:tcPr>
          <w:p w:rsidR="009C7E62" w:rsidP="009C7E62" w:rsidRDefault="009C7E62" w14:paraId="57953729" w14:textId="77777777">
            <w:pPr>
              <w:pStyle w:val="TableSideHeading"/>
              <w:rPr>
                <w:rtl/>
              </w:rPr>
            </w:pPr>
          </w:p>
        </w:tc>
        <w:tc>
          <w:tcPr>
            <w:tcW w:w="624" w:type="dxa"/>
          </w:tcPr>
          <w:p w:rsidR="009C7E62" w:rsidP="009C7E62" w:rsidRDefault="009C7E62" w14:paraId="127206C6" w14:textId="77777777">
            <w:pPr>
              <w:pStyle w:val="TableText"/>
              <w:rPr>
                <w:rtl/>
              </w:rPr>
            </w:pPr>
          </w:p>
        </w:tc>
        <w:tc>
          <w:tcPr>
            <w:tcW w:w="624" w:type="dxa"/>
          </w:tcPr>
          <w:p w:rsidR="009C7E62" w:rsidP="009C7E62" w:rsidRDefault="009C7E62" w14:paraId="3B7A9C77" w14:textId="77777777">
            <w:pPr>
              <w:pStyle w:val="TableText"/>
            </w:pPr>
          </w:p>
        </w:tc>
        <w:tc>
          <w:tcPr>
            <w:tcW w:w="624" w:type="dxa"/>
          </w:tcPr>
          <w:p w:rsidR="009C7E62" w:rsidP="009C7E62" w:rsidRDefault="009C7E62" w14:paraId="69D16675" w14:textId="77777777">
            <w:pPr>
              <w:pStyle w:val="TableText"/>
            </w:pPr>
          </w:p>
        </w:tc>
        <w:tc>
          <w:tcPr>
            <w:tcW w:w="624" w:type="dxa"/>
          </w:tcPr>
          <w:p w:rsidR="009C7E62" w:rsidP="009C7E62" w:rsidRDefault="009C7E62" w14:paraId="21547F8E" w14:textId="77777777">
            <w:pPr>
              <w:pStyle w:val="TableText"/>
            </w:pPr>
          </w:p>
        </w:tc>
        <w:tc>
          <w:tcPr>
            <w:tcW w:w="624" w:type="dxa"/>
          </w:tcPr>
          <w:p w:rsidR="009C7E62" w:rsidP="009C7E62" w:rsidRDefault="009C7E62" w14:paraId="41AE3763" w14:textId="77777777">
            <w:pPr>
              <w:pStyle w:val="TableText"/>
            </w:pPr>
          </w:p>
        </w:tc>
        <w:tc>
          <w:tcPr>
            <w:tcW w:w="624" w:type="dxa"/>
          </w:tcPr>
          <w:p w:rsidR="009C7E62" w:rsidP="009C7E62" w:rsidRDefault="009C7E62" w14:paraId="538FB1C5" w14:textId="77777777">
            <w:pPr>
              <w:pStyle w:val="TableText"/>
            </w:pPr>
          </w:p>
        </w:tc>
        <w:tc>
          <w:tcPr>
            <w:tcW w:w="4026" w:type="dxa"/>
            <w:hideMark/>
          </w:tcPr>
          <w:p w:rsidR="009C7E62" w:rsidP="009C7E62" w:rsidRDefault="009C7E62" w14:paraId="4AA3C67B" w14:textId="77777777">
            <w:pPr>
              <w:pStyle w:val="TableHead"/>
              <w:jc w:val="both"/>
              <w:rPr>
                <w:b w:val="0"/>
                <w:bCs w:val="0"/>
              </w:rPr>
            </w:pPr>
            <w:r>
              <w:rPr>
                <w:rFonts w:ascii="Times New Roman" w:hAnsi="Times New Roman" w:eastAsia="Calibri"/>
                <w:b w:val="0"/>
                <w:bCs w:val="0"/>
                <w:color w:val="auto"/>
                <w:sz w:val="26"/>
                <w:rtl/>
                <w:lang w:eastAsia="en-US"/>
              </w:rPr>
              <w:t xml:space="preserve">(3) </w:t>
            </w:r>
            <w:r>
              <w:rPr>
                <w:rFonts w:ascii="Times New Roman" w:hAnsi="Times New Roman" w:eastAsia="Calibri"/>
                <w:b w:val="0"/>
                <w:bCs w:val="0"/>
                <w:color w:val="auto"/>
                <w:sz w:val="26"/>
                <w:rtl/>
                <w:lang w:eastAsia="en-US"/>
              </w:rPr>
              <w:tab/>
              <w:t>נציג שימונה על ידי נציב שירות בתי הסוהר או המשרד לביטחון הפנים;</w:t>
            </w:r>
          </w:p>
        </w:tc>
      </w:tr>
      <w:tr w:rsidR="009C7E62" w:rsidTr="00E75D66" w14:paraId="633A665E" w14:textId="77777777">
        <w:trPr>
          <w:cantSplit/>
          <w:trHeight w:val="60"/>
        </w:trPr>
        <w:tc>
          <w:tcPr>
            <w:tcW w:w="1871" w:type="dxa"/>
          </w:tcPr>
          <w:p w:rsidR="009C7E62" w:rsidP="009C7E62" w:rsidRDefault="009C7E62" w14:paraId="57EFA47B" w14:textId="77777777">
            <w:pPr>
              <w:pStyle w:val="TableSideHeading"/>
              <w:rPr>
                <w:rtl/>
              </w:rPr>
            </w:pPr>
          </w:p>
        </w:tc>
        <w:tc>
          <w:tcPr>
            <w:tcW w:w="624" w:type="dxa"/>
          </w:tcPr>
          <w:p w:rsidR="009C7E62" w:rsidP="009C7E62" w:rsidRDefault="009C7E62" w14:paraId="1F85E032" w14:textId="77777777">
            <w:pPr>
              <w:pStyle w:val="TableText"/>
              <w:rPr>
                <w:rtl/>
              </w:rPr>
            </w:pPr>
          </w:p>
        </w:tc>
        <w:tc>
          <w:tcPr>
            <w:tcW w:w="624" w:type="dxa"/>
          </w:tcPr>
          <w:p w:rsidR="009C7E62" w:rsidP="009C7E62" w:rsidRDefault="009C7E62" w14:paraId="6DF6AC03" w14:textId="77777777">
            <w:pPr>
              <w:pStyle w:val="TableText"/>
            </w:pPr>
          </w:p>
        </w:tc>
        <w:tc>
          <w:tcPr>
            <w:tcW w:w="624" w:type="dxa"/>
          </w:tcPr>
          <w:p w:rsidR="009C7E62" w:rsidP="009C7E62" w:rsidRDefault="009C7E62" w14:paraId="2B31E4BB" w14:textId="77777777">
            <w:pPr>
              <w:pStyle w:val="TableText"/>
            </w:pPr>
          </w:p>
        </w:tc>
        <w:tc>
          <w:tcPr>
            <w:tcW w:w="624" w:type="dxa"/>
          </w:tcPr>
          <w:p w:rsidR="009C7E62" w:rsidP="009C7E62" w:rsidRDefault="009C7E62" w14:paraId="3420944E" w14:textId="77777777">
            <w:pPr>
              <w:pStyle w:val="TableText"/>
            </w:pPr>
          </w:p>
        </w:tc>
        <w:tc>
          <w:tcPr>
            <w:tcW w:w="624" w:type="dxa"/>
          </w:tcPr>
          <w:p w:rsidR="009C7E62" w:rsidP="009C7E62" w:rsidRDefault="009C7E62" w14:paraId="60E63AEB" w14:textId="77777777">
            <w:pPr>
              <w:pStyle w:val="TableText"/>
            </w:pPr>
          </w:p>
        </w:tc>
        <w:tc>
          <w:tcPr>
            <w:tcW w:w="624" w:type="dxa"/>
          </w:tcPr>
          <w:p w:rsidR="009C7E62" w:rsidP="009C7E62" w:rsidRDefault="009C7E62" w14:paraId="7B6F2741" w14:textId="77777777">
            <w:pPr>
              <w:pStyle w:val="TableText"/>
            </w:pPr>
          </w:p>
        </w:tc>
        <w:tc>
          <w:tcPr>
            <w:tcW w:w="4026" w:type="dxa"/>
            <w:hideMark/>
          </w:tcPr>
          <w:p w:rsidR="009C7E62" w:rsidP="009C7E62" w:rsidRDefault="009C7E62" w14:paraId="7241D94D" w14:textId="77777777">
            <w:pPr>
              <w:pStyle w:val="TableHead"/>
              <w:jc w:val="both"/>
              <w:rPr>
                <w:b w:val="0"/>
                <w:bCs w:val="0"/>
              </w:rPr>
            </w:pPr>
            <w:r>
              <w:rPr>
                <w:rFonts w:ascii="Times New Roman" w:hAnsi="Times New Roman" w:eastAsia="Calibri"/>
                <w:b w:val="0"/>
                <w:bCs w:val="0"/>
                <w:color w:val="auto"/>
                <w:sz w:val="26"/>
                <w:rtl/>
                <w:lang w:eastAsia="en-US"/>
              </w:rPr>
              <w:t xml:space="preserve">(4) </w:t>
            </w:r>
            <w:r>
              <w:rPr>
                <w:rFonts w:ascii="Times New Roman" w:hAnsi="Times New Roman" w:eastAsia="Calibri"/>
                <w:b w:val="0"/>
                <w:bCs w:val="0"/>
                <w:color w:val="auto"/>
                <w:sz w:val="26"/>
                <w:rtl/>
                <w:lang w:eastAsia="en-US"/>
              </w:rPr>
              <w:tab/>
              <w:t>נציג שימונה על ידי שר העבודה, הרווחה והשירותים החברתיים</w:t>
            </w:r>
            <w:r>
              <w:rPr>
                <w:b w:val="0"/>
                <w:bCs w:val="0"/>
                <w:rtl/>
              </w:rPr>
              <w:t>.</w:t>
            </w:r>
          </w:p>
        </w:tc>
      </w:tr>
      <w:tr w:rsidR="009C7E62" w:rsidTr="00E75D66" w14:paraId="0D99713E" w14:textId="77777777">
        <w:trPr>
          <w:cantSplit/>
          <w:trHeight w:val="60"/>
        </w:trPr>
        <w:tc>
          <w:tcPr>
            <w:tcW w:w="1871" w:type="dxa"/>
          </w:tcPr>
          <w:p w:rsidR="009C7E62" w:rsidP="009C7E62" w:rsidRDefault="009C7E62" w14:paraId="527606AE" w14:textId="77777777">
            <w:pPr>
              <w:pStyle w:val="TableSideHeading"/>
              <w:rPr>
                <w:rFonts w:cs="Guttman Yad-Brush"/>
                <w:rtl/>
              </w:rPr>
            </w:pPr>
          </w:p>
        </w:tc>
        <w:tc>
          <w:tcPr>
            <w:tcW w:w="624" w:type="dxa"/>
          </w:tcPr>
          <w:p w:rsidR="009C7E62" w:rsidP="009C7E62" w:rsidRDefault="009C7E62" w14:paraId="14EB1595" w14:textId="77777777">
            <w:pPr>
              <w:pStyle w:val="TableText"/>
            </w:pPr>
          </w:p>
        </w:tc>
        <w:tc>
          <w:tcPr>
            <w:tcW w:w="624" w:type="dxa"/>
          </w:tcPr>
          <w:p w:rsidR="009C7E62" w:rsidP="009C7E62" w:rsidRDefault="009C7E62" w14:paraId="19A7BCD7" w14:textId="77777777">
            <w:pPr>
              <w:pStyle w:val="TableText"/>
            </w:pPr>
          </w:p>
        </w:tc>
        <w:tc>
          <w:tcPr>
            <w:tcW w:w="624" w:type="dxa"/>
          </w:tcPr>
          <w:p w:rsidR="009C7E62" w:rsidP="009C7E62" w:rsidRDefault="009C7E62" w14:paraId="53043110" w14:textId="77777777">
            <w:pPr>
              <w:pStyle w:val="TableText"/>
            </w:pPr>
          </w:p>
        </w:tc>
        <w:tc>
          <w:tcPr>
            <w:tcW w:w="624" w:type="dxa"/>
          </w:tcPr>
          <w:p w:rsidR="009C7E62" w:rsidP="009C7E62" w:rsidRDefault="009C7E62" w14:paraId="62DB0C0D" w14:textId="77777777">
            <w:pPr>
              <w:pStyle w:val="TableText"/>
            </w:pPr>
          </w:p>
        </w:tc>
        <w:tc>
          <w:tcPr>
            <w:tcW w:w="624" w:type="dxa"/>
          </w:tcPr>
          <w:p w:rsidR="009C7E62" w:rsidP="009C7E62" w:rsidRDefault="009C7E62" w14:paraId="086A3561" w14:textId="77777777">
            <w:pPr>
              <w:pStyle w:val="TableText"/>
            </w:pPr>
          </w:p>
        </w:tc>
        <w:tc>
          <w:tcPr>
            <w:tcW w:w="4650" w:type="dxa"/>
            <w:gridSpan w:val="2"/>
            <w:hideMark/>
          </w:tcPr>
          <w:p w:rsidR="009C7E62" w:rsidP="009C7E62" w:rsidRDefault="009C7E62" w14:paraId="6D8E77DE" w14:textId="3CFFF30A">
            <w:pPr>
              <w:pStyle w:val="TableHead"/>
              <w:jc w:val="both"/>
              <w:rPr>
                <w:b w:val="0"/>
                <w:bCs w:val="0"/>
              </w:rPr>
            </w:pPr>
            <w:r>
              <w:rPr>
                <w:b w:val="0"/>
                <w:bCs w:val="0"/>
                <w:rtl/>
              </w:rPr>
              <w:t>(ה)</w:t>
            </w:r>
            <w:r>
              <w:rPr>
                <w:b w:val="0"/>
                <w:bCs w:val="0"/>
                <w:rtl/>
              </w:rPr>
              <w:tab/>
              <w:t>ההכרזה על מוסד כאמור בסעיף קטן (ב) תיעשה על ידי שר העבודה, הרווחה והשירותים החברתיים, בהתייעצות עם שר המשפטים והשר לביטחון הפנים.</w:t>
            </w:r>
          </w:p>
        </w:tc>
      </w:tr>
      <w:tr w:rsidR="009C7E62" w:rsidTr="00E75D66" w14:paraId="501BE951" w14:textId="77777777">
        <w:trPr>
          <w:cantSplit/>
          <w:trHeight w:val="60"/>
        </w:trPr>
        <w:tc>
          <w:tcPr>
            <w:tcW w:w="1871" w:type="dxa"/>
          </w:tcPr>
          <w:p w:rsidR="009C7E62" w:rsidP="009C7E62" w:rsidRDefault="009C7E62" w14:paraId="529A1916" w14:textId="77777777">
            <w:pPr>
              <w:pStyle w:val="TableSideHeading"/>
              <w:rPr>
                <w:rFonts w:cs="Guttman Yad-Brush"/>
                <w:rtl/>
              </w:rPr>
            </w:pPr>
          </w:p>
        </w:tc>
        <w:tc>
          <w:tcPr>
            <w:tcW w:w="624" w:type="dxa"/>
          </w:tcPr>
          <w:p w:rsidR="009C7E62" w:rsidP="009C7E62" w:rsidRDefault="009C7E62" w14:paraId="7CC1385B" w14:textId="77777777">
            <w:pPr>
              <w:pStyle w:val="TableText"/>
            </w:pPr>
          </w:p>
        </w:tc>
        <w:tc>
          <w:tcPr>
            <w:tcW w:w="624" w:type="dxa"/>
          </w:tcPr>
          <w:p w:rsidR="009C7E62" w:rsidP="009C7E62" w:rsidRDefault="009C7E62" w14:paraId="1B9BF352" w14:textId="77777777">
            <w:pPr>
              <w:pStyle w:val="TableText"/>
            </w:pPr>
          </w:p>
        </w:tc>
        <w:tc>
          <w:tcPr>
            <w:tcW w:w="624" w:type="dxa"/>
          </w:tcPr>
          <w:p w:rsidR="009C7E62" w:rsidP="009C7E62" w:rsidRDefault="009C7E62" w14:paraId="48D258CC" w14:textId="77777777">
            <w:pPr>
              <w:pStyle w:val="TableText"/>
            </w:pPr>
          </w:p>
        </w:tc>
        <w:tc>
          <w:tcPr>
            <w:tcW w:w="624" w:type="dxa"/>
          </w:tcPr>
          <w:p w:rsidR="009C7E62" w:rsidP="009C7E62" w:rsidRDefault="009C7E62" w14:paraId="48A552F1" w14:textId="77777777">
            <w:pPr>
              <w:pStyle w:val="TableText"/>
            </w:pPr>
          </w:p>
        </w:tc>
        <w:tc>
          <w:tcPr>
            <w:tcW w:w="624" w:type="dxa"/>
          </w:tcPr>
          <w:p w:rsidR="009C7E62" w:rsidP="009C7E62" w:rsidRDefault="009C7E62" w14:paraId="096BB04F" w14:textId="77777777">
            <w:pPr>
              <w:pStyle w:val="TableText"/>
            </w:pPr>
          </w:p>
        </w:tc>
        <w:tc>
          <w:tcPr>
            <w:tcW w:w="4650" w:type="dxa"/>
            <w:gridSpan w:val="2"/>
            <w:hideMark/>
          </w:tcPr>
          <w:p w:rsidR="009C7E62" w:rsidP="009C7E62" w:rsidRDefault="009C7E62" w14:paraId="0357887E" w14:textId="77777777">
            <w:pPr>
              <w:pStyle w:val="TableHead"/>
              <w:jc w:val="both"/>
              <w:rPr>
                <w:b w:val="0"/>
                <w:bCs w:val="0"/>
              </w:rPr>
            </w:pPr>
            <w:r>
              <w:rPr>
                <w:b w:val="0"/>
                <w:bCs w:val="0"/>
                <w:rtl/>
              </w:rPr>
              <w:t xml:space="preserve">(ו) </w:t>
            </w:r>
            <w:r>
              <w:rPr>
                <w:b w:val="0"/>
                <w:bCs w:val="0"/>
                <w:rtl/>
              </w:rPr>
              <w:tab/>
              <w:t xml:space="preserve">בית המשפט שגזר את דינה של האסירה רשאי להחליט בכל עת, על פי בקשתה, או לבקשת המוסד שבו היא שוהה, להורות על הפסקת ריצוי המאסר במוסד חילופי והחזרת האסירה לרצות את המשך מאסרה. </w:t>
            </w:r>
          </w:p>
        </w:tc>
      </w:tr>
      <w:tr w:rsidR="009C7E62" w:rsidTr="00E75D66" w14:paraId="680C4399" w14:textId="77777777">
        <w:trPr>
          <w:cantSplit/>
          <w:trHeight w:val="60"/>
        </w:trPr>
        <w:tc>
          <w:tcPr>
            <w:tcW w:w="1871" w:type="dxa"/>
          </w:tcPr>
          <w:p w:rsidR="009C7E62" w:rsidP="009C7E62" w:rsidRDefault="009C7E62" w14:paraId="59D2B452" w14:textId="77777777">
            <w:pPr>
              <w:pStyle w:val="TableSideHeading"/>
              <w:rPr>
                <w:rFonts w:cs="Guttman Yad-Brush"/>
                <w:rtl/>
              </w:rPr>
            </w:pPr>
          </w:p>
        </w:tc>
        <w:tc>
          <w:tcPr>
            <w:tcW w:w="624" w:type="dxa"/>
          </w:tcPr>
          <w:p w:rsidR="009C7E62" w:rsidP="009C7E62" w:rsidRDefault="009C7E62" w14:paraId="035C9D36" w14:textId="77777777">
            <w:pPr>
              <w:pStyle w:val="TableText"/>
            </w:pPr>
          </w:p>
        </w:tc>
        <w:tc>
          <w:tcPr>
            <w:tcW w:w="624" w:type="dxa"/>
          </w:tcPr>
          <w:p w:rsidR="009C7E62" w:rsidP="009C7E62" w:rsidRDefault="009C7E62" w14:paraId="1307D7EB" w14:textId="77777777">
            <w:pPr>
              <w:pStyle w:val="TableText"/>
            </w:pPr>
          </w:p>
        </w:tc>
        <w:tc>
          <w:tcPr>
            <w:tcW w:w="624" w:type="dxa"/>
          </w:tcPr>
          <w:p w:rsidR="009C7E62" w:rsidP="009C7E62" w:rsidRDefault="009C7E62" w14:paraId="2EF307CC" w14:textId="77777777">
            <w:pPr>
              <w:pStyle w:val="TableText"/>
            </w:pPr>
          </w:p>
        </w:tc>
        <w:tc>
          <w:tcPr>
            <w:tcW w:w="624" w:type="dxa"/>
          </w:tcPr>
          <w:p w:rsidR="009C7E62" w:rsidP="009C7E62" w:rsidRDefault="009C7E62" w14:paraId="3C7EE424" w14:textId="77777777">
            <w:pPr>
              <w:pStyle w:val="TableText"/>
            </w:pPr>
          </w:p>
        </w:tc>
        <w:tc>
          <w:tcPr>
            <w:tcW w:w="624" w:type="dxa"/>
          </w:tcPr>
          <w:p w:rsidR="009C7E62" w:rsidP="009C7E62" w:rsidRDefault="009C7E62" w14:paraId="6B031A68" w14:textId="77777777">
            <w:pPr>
              <w:pStyle w:val="TableText"/>
            </w:pPr>
          </w:p>
        </w:tc>
        <w:tc>
          <w:tcPr>
            <w:tcW w:w="4650" w:type="dxa"/>
            <w:gridSpan w:val="2"/>
            <w:hideMark/>
          </w:tcPr>
          <w:p w:rsidR="009C7E62" w:rsidP="009C7E62" w:rsidRDefault="009C7E62" w14:paraId="7119061C" w14:textId="337C6188">
            <w:pPr>
              <w:pStyle w:val="TableHead"/>
              <w:jc w:val="both"/>
              <w:rPr>
                <w:b w:val="0"/>
                <w:bCs w:val="0"/>
              </w:rPr>
            </w:pPr>
            <w:r>
              <w:rPr>
                <w:b w:val="0"/>
                <w:bCs w:val="0"/>
                <w:rtl/>
              </w:rPr>
              <w:t xml:space="preserve">(ז) </w:t>
            </w:r>
            <w:r>
              <w:rPr>
                <w:b w:val="0"/>
                <w:bCs w:val="0"/>
                <w:rtl/>
              </w:rPr>
              <w:tab/>
              <w:t>סדרי דין בנוגע לאופן עבודתה של הוועדה המיוחדת והפסקת ריצוי המאסר במוסד חלופי ייקבעו בתקנות, באישור שר המשפטים ושר העבודה, הרווחה והשירותים החברתיים."</w:t>
            </w:r>
          </w:p>
        </w:tc>
      </w:tr>
    </w:tbl>
    <w:p w:rsidR="005214FF" w:rsidP="005214FF" w:rsidRDefault="005214FF" w14:paraId="398A4649" w14:textId="77777777">
      <w:pPr>
        <w:pStyle w:val="HeadDivreiHesber"/>
      </w:pPr>
      <w:r>
        <w:rPr>
          <w:rtl/>
        </w:rPr>
        <w:t>דברי הסבר</w:t>
      </w:r>
    </w:p>
    <w:p w:rsidRPr="003A044F" w:rsidR="005214FF" w:rsidP="009C7E62" w:rsidRDefault="005214FF" w14:paraId="08B7221C" w14:textId="77777777">
      <w:pPr>
        <w:pStyle w:val="Hesber"/>
        <w:spacing w:line="276" w:lineRule="auto"/>
        <w:rPr>
          <w:rtl/>
        </w:rPr>
      </w:pPr>
      <w:r w:rsidRPr="003A044F">
        <w:rPr>
          <w:rtl/>
        </w:rPr>
        <w:t>על פי השיטה והכללים הנהוגים כיום במדינה, אישה אשר נדונה למאסר בפועל מחויבת לרצות את עונשה בבית סוהר. הדין הקיים איננו מבחין בין אישה לגבר בכל הנוגע לאופן ריצוי המאסר בפועל ו</w:t>
      </w:r>
      <w:r w:rsidRPr="003A044F">
        <w:rPr>
          <w:rFonts w:hint="cs"/>
          <w:rtl/>
        </w:rPr>
        <w:t xml:space="preserve">אף </w:t>
      </w:r>
      <w:r w:rsidRPr="003A044F">
        <w:rPr>
          <w:rtl/>
        </w:rPr>
        <w:t xml:space="preserve">איננו נותן משקל לעובדה שהמורשע הוא הורה לילדים קטינים או לפעוטות. היוצאים מכלל זה הם קטינים או </w:t>
      </w:r>
      <w:r w:rsidRPr="003A044F">
        <w:rPr>
          <w:rFonts w:hint="cs"/>
          <w:rtl/>
        </w:rPr>
        <w:t>בעלי מוגבלות שכלית ה</w:t>
      </w:r>
      <w:r w:rsidRPr="003A044F">
        <w:rPr>
          <w:rtl/>
        </w:rPr>
        <w:t>נדונים למאסר בפועל, אשר לגביהם קיים הסדר ייחודי – ולהם האפשרות לחלופת מאסר במעון נעול.</w:t>
      </w:r>
    </w:p>
    <w:p w:rsidRPr="003A044F" w:rsidR="005214FF" w:rsidP="009C7E62" w:rsidRDefault="005214FF" w14:paraId="74A43980" w14:textId="77777777">
      <w:pPr>
        <w:pStyle w:val="Hesber"/>
        <w:spacing w:line="276" w:lineRule="auto"/>
        <w:rPr>
          <w:rtl/>
        </w:rPr>
      </w:pPr>
      <w:r w:rsidRPr="003A044F">
        <w:rPr>
          <w:rtl/>
        </w:rPr>
        <w:t xml:space="preserve">הצעת חוק זו נועדה לאפשר לנשים אסירות בהיריון או אמהות לילדים, לרצות את עונשן כולו או מקצתו בתכנית חלופית למאסר. הרעיון העומד מאחורי הסדר זה, הוא צמצום הנזקים שנגרמים לילדים כתוצאה ממאסרה של האם תוך מתן אפשרות לילדים לשמור כמה שיותר על אורח חיים תקין שישרת את טובתם גם בתקופה שאמם מרצה את עונשה. הצעת החוק נועדה גם לשרת את האישה במתן כלים מתקנים והכשרה הורית תוך מתן מענה לצרכי האישה האינדיבידואליים. </w:t>
      </w:r>
    </w:p>
    <w:p w:rsidRPr="003A044F" w:rsidR="005214FF" w:rsidP="009C7E62" w:rsidRDefault="005214FF" w14:paraId="5B3EDF94" w14:textId="681DC352">
      <w:pPr>
        <w:pStyle w:val="Hesber"/>
        <w:spacing w:line="276" w:lineRule="auto"/>
        <w:rPr>
          <w:rtl/>
        </w:rPr>
      </w:pPr>
      <w:r w:rsidRPr="003A044F">
        <w:rPr>
          <w:rtl/>
        </w:rPr>
        <w:t xml:space="preserve">ההסדר המוצע אינו מבטל את האפשרות כי אישה תישלח לרצות את עונשה בבית סוהר אלא מאפשר לקבוע חלופת מאסר, בדומה להסדרים הקיימים בחוק הסעד (טיפול במפגרים), התשכ"ט–1969, ובחוק הנוער (שפיטה, ענישה ודרכי טיפול), התשל"א–1971. ריצוי מאסר בפועל בדרך של עבודות שירות מהווה דוגמא לחלופת מאסר, אלא שחלופה זו נקבעת בהתאם לקריטריונים שהם נסיבות המקרה, חומרת </w:t>
      </w:r>
      <w:r w:rsidRPr="003A044F">
        <w:rPr>
          <w:rtl/>
        </w:rPr>
        <w:lastRenderedPageBreak/>
        <w:t xml:space="preserve">העבירה ועונש מקסימאלי של עד 6 חודשי מאסר. </w:t>
      </w:r>
    </w:p>
    <w:p w:rsidRPr="003A044F" w:rsidR="005214FF" w:rsidP="009C7E62" w:rsidRDefault="005214FF" w14:paraId="1614292E" w14:textId="77777777">
      <w:pPr>
        <w:pStyle w:val="Hesber"/>
        <w:spacing w:line="276" w:lineRule="auto"/>
        <w:rPr>
          <w:rtl/>
        </w:rPr>
      </w:pPr>
      <w:r w:rsidRPr="003A044F">
        <w:rPr>
          <w:rtl/>
        </w:rPr>
        <w:t>מטרת הצעת החוק היא כי חלופות המאסר יאפשרו את שילובן של האמהות יחד עם ילדיהן הקטינים במוסדות טיפוליים שינוהלו על ידי הרשות לשיקום האסיר ובפיקוח משרד העבודה, הרווחה והשירותים החברתיים. תכלית המוסד היא לשקם את האם ובמקביל לטפח ולשמר את הקשר שלה עם ילדיה באופן שיקדם שילוב האם וילדיה בקהילה כיחידה משפחתית מתפקדת.</w:t>
      </w:r>
    </w:p>
    <w:p w:rsidRPr="003A044F" w:rsidR="005214FF" w:rsidP="009C7E62" w:rsidRDefault="005214FF" w14:paraId="1E7C7938" w14:textId="77777777">
      <w:pPr>
        <w:pStyle w:val="Hesber"/>
        <w:spacing w:line="276" w:lineRule="auto"/>
        <w:rPr>
          <w:rtl/>
        </w:rPr>
      </w:pPr>
      <w:r w:rsidRPr="003A044F">
        <w:rPr>
          <w:rtl/>
        </w:rPr>
        <w:t xml:space="preserve">ניתוק ילדים מאמם הוא חוויה טראומטית עבור האם וילדיה. חלופת המאסר אינה נוגעת למקרים שהניתוק נובע מהסיכון שמהווה האם עבור ילדיה, אלא בניתוק הכפוי שנגרם עקב המאסר. המענה שהמדינה נותנת כיום לטיפול בנזקים הנגרמים כתוצאה מאותו ניתוק הוא אך ורק לאחר השחרור או השחרור המוקדם שהאפקטיביות שלו איננה תמיד מוכחת. יש לפעול ולרכז את המאמצים במניעת אותו ניתוק ולא בריפוי הנזקים שהוא הוליד – פצעים שלעתים קשה מאד לרפא. </w:t>
      </w:r>
    </w:p>
    <w:p w:rsidRPr="003A044F" w:rsidR="005214FF" w:rsidP="009C7E62" w:rsidRDefault="005214FF" w14:paraId="284312F7" w14:textId="77777777">
      <w:pPr>
        <w:pStyle w:val="Hesber"/>
        <w:spacing w:line="276" w:lineRule="auto"/>
        <w:rPr>
          <w:rtl/>
        </w:rPr>
      </w:pPr>
      <w:r w:rsidRPr="003A044F">
        <w:rPr>
          <w:rtl/>
        </w:rPr>
        <w:t>בישראל קיים רק בית סוהר אחד לנשים, נווה תרצה. כל האסירות, מלבד מספר מצומצם של אסירות ביטחוניות, שוהות בבית סוהר זה המרוחק מכל יישובי הפריפריה ויישובי הספר במדינה. עובדה זו מקשה על התאמת תכניות משותפות לאמהות ו</w:t>
      </w:r>
      <w:r w:rsidRPr="003A044F">
        <w:rPr>
          <w:rFonts w:hint="cs"/>
          <w:rtl/>
        </w:rPr>
        <w:t>ל</w:t>
      </w:r>
      <w:r w:rsidRPr="003A044F">
        <w:rPr>
          <w:rtl/>
        </w:rPr>
        <w:t xml:space="preserve">ילדיהן הקטינים. כמו כן, הניסיון מלמד, כי שליחתה של אם לבית סוהר מביא להוצאת הילדים ממשמורת אביהם ומסירתם למשפחות אומנה. מסירת ילדים למשפחות אומנה פוגעת בקשר שלהם עם אמהותיהם האסירות ומצמצמת את תדירות הביקורים בכלא. </w:t>
      </w:r>
    </w:p>
    <w:p w:rsidRPr="003A044F" w:rsidR="005214FF" w:rsidP="009C7E62" w:rsidRDefault="005214FF" w14:paraId="303B5B5C" w14:textId="77777777">
      <w:pPr>
        <w:pStyle w:val="Hesber"/>
        <w:spacing w:line="276" w:lineRule="auto"/>
        <w:rPr>
          <w:rtl/>
        </w:rPr>
      </w:pPr>
      <w:r w:rsidRPr="003A044F">
        <w:rPr>
          <w:rtl/>
        </w:rPr>
        <w:t xml:space="preserve">לעומת זאת, מאסרו של אב ככלל איננו מוציא את הילדים מחזקת אמם ובדרך כלל אמהות מקפידות להגיע לבתי הכלא יחד עם ילדיהן לביקור אביהם ובד בבד ממשיכות למלא את תפקידן ההורי עם דאגה לצורכי הילדים במשך כל תקופת המאסר של האב. אי לכך, בשלב זה מוצע להחיל את ההסדר אך ורק על נשים ולבחון את התאמתו לגברים הורים בבוא העת ולאחר תקופת הניסוי. </w:t>
      </w:r>
    </w:p>
    <w:p w:rsidRPr="003A044F" w:rsidR="005214FF" w:rsidP="009C7E62" w:rsidRDefault="005214FF" w14:paraId="702C92CA" w14:textId="77777777">
      <w:pPr>
        <w:pStyle w:val="Hesber"/>
        <w:spacing w:line="276" w:lineRule="auto"/>
        <w:rPr>
          <w:rtl/>
        </w:rPr>
      </w:pPr>
      <w:r w:rsidRPr="003A044F">
        <w:rPr>
          <w:rtl/>
        </w:rPr>
        <w:t xml:space="preserve">יצוין, כי האופציה לאפשר גידול ילד בכלא איננה רצויה כיוון שהיא מאלצת את הילדים לגדול בתנאי כליאה וסדרי משמעת נוקשים. הניסיון להתאים את תנאי הכליאה לצורכי הילד לא מבטיח כי יגדלו בסביבה טבעית ונזקי המאסר שחווה כל כלוא עלולים להיות מנת חלקם של הילדים. </w:t>
      </w:r>
    </w:p>
    <w:p w:rsidRPr="003A044F" w:rsidR="005214FF" w:rsidP="009C7E62" w:rsidRDefault="005214FF" w14:paraId="79083C53" w14:textId="77777777">
      <w:pPr>
        <w:pStyle w:val="Hesber"/>
        <w:spacing w:line="276" w:lineRule="auto"/>
        <w:rPr>
          <w:rtl/>
        </w:rPr>
      </w:pPr>
      <w:r w:rsidRPr="003A044F">
        <w:rPr>
          <w:rtl/>
        </w:rPr>
        <w:t>נושא חלופות המאסר מעוגן גם בכללי האו"ם הקובעים את הסטנדרטים המינימאליים להסדרים ללא משמורת (</w:t>
      </w:r>
      <w:r w:rsidRPr="003A044F">
        <w:t>United Nations Standard Minimum Rules for Non-custodial Measures</w:t>
      </w:r>
      <w:r w:rsidRPr="003A044F">
        <w:rPr>
          <w:rtl/>
        </w:rPr>
        <w:t>) הידועים כ"כללי טוקיו" (</w:t>
      </w:r>
      <w:r w:rsidRPr="003A044F">
        <w:t>Tokyo rules</w:t>
      </w:r>
      <w:r w:rsidRPr="003A044F">
        <w:rPr>
          <w:rtl/>
        </w:rPr>
        <w:t xml:space="preserve">). כללים אלה מספקים סדרה של עקרונות בסיסיים לקידום השימוש בחלופות המאסר, ונועדו לקדם מעורבות חברתית וקהילתית גדולה יותר בניהול ההליך הפלילי ובטיפול בעבריינים, כמו כן להנחיל בקרב העבריינים תחושת מחויבות כלפי החברה. כללים אלו קובעים, כי על המדינות החברות באו"ם לפתח הסדרים חלופיים למאסר, ללא משמורת, במערכות המשפטיות, כדי לספק חלופות ואפשרויות אחרות, ובכך להפחית את השימוש בבתי הסוהר. כללים אלה מדגישים את חשיבות החלופות למאסר או מעצר בכל שלב בהליך הפלילי, כך שבמקום שיש אפשרות לאמץ חלופה למאסר, יש להעדיפה על פני מאסר. </w:t>
      </w:r>
    </w:p>
    <w:p w:rsidRPr="003A044F" w:rsidR="005214FF" w:rsidP="009C7E62" w:rsidRDefault="005214FF" w14:paraId="4BFF408D" w14:textId="77777777">
      <w:pPr>
        <w:pStyle w:val="Hesber"/>
        <w:spacing w:line="276" w:lineRule="auto"/>
        <w:rPr>
          <w:rtl/>
        </w:rPr>
      </w:pPr>
      <w:r w:rsidRPr="003A044F">
        <w:rPr>
          <w:rtl/>
        </w:rPr>
        <w:t>נוסף על כללי טוקיו, נושא חלופות המאסר מוסדר גם בכללי האו"ם לטיפול בנשים אסירות והסדרים עונשיים "ללא משמורת", הידועים כ"כללי בנגקוק" (</w:t>
      </w:r>
      <w:r w:rsidRPr="003A044F">
        <w:t>Bangkok rules</w:t>
      </w:r>
      <w:r w:rsidRPr="003A044F">
        <w:rPr>
          <w:rtl/>
        </w:rPr>
        <w:t xml:space="preserve">). כללים אלה הורו לכל הגופים הרלוונטיים להקדיש תשומת לב מוגברת לנושא של נשים בבתי הסוהר, לרבות אמהות אסירות וילדיהם. </w:t>
      </w:r>
    </w:p>
    <w:p w:rsidR="005214FF" w:rsidP="009C7E62" w:rsidRDefault="003A044F" w14:paraId="5F192912" w14:textId="6A474849">
      <w:pPr>
        <w:pStyle w:val="Hesber"/>
        <w:spacing w:line="276" w:lineRule="auto"/>
        <w:rPr>
          <w:rtl/>
        </w:rPr>
      </w:pPr>
      <w:r w:rsidRPr="003A044F">
        <w:rPr>
          <w:rFonts w:hint="cs"/>
          <w:rtl/>
        </w:rPr>
        <w:t>הצעת חוק זהה הונחה על</w:t>
      </w:r>
      <w:r w:rsidRPr="003A044F" w:rsidR="005214FF">
        <w:rPr>
          <w:rFonts w:hint="cs"/>
          <w:rtl/>
        </w:rPr>
        <w:t xml:space="preserve"> שולחן הכנסת העשרים וארבע על ידי חברת הכנסת עאידה תומא-סלימאן </w:t>
      </w:r>
      <w:r w:rsidRPr="003A044F">
        <w:rPr>
          <w:rFonts w:hint="cs"/>
          <w:rtl/>
        </w:rPr>
        <w:t>(</w:t>
      </w:r>
      <w:r w:rsidRPr="003A044F" w:rsidR="005214FF">
        <w:rPr>
          <w:rFonts w:hint="cs"/>
          <w:rtl/>
        </w:rPr>
        <w:t>פ/1699/24).</w:t>
      </w:r>
    </w:p>
    <w:p w:rsidR="00E13C27" w:rsidP="009C7E62" w:rsidRDefault="00E05342" w14:paraId="7F6961CB" w14:textId="1F1639D6">
      <w:pPr>
        <w:pStyle w:val="Hesber"/>
        <w:spacing w:line="276" w:lineRule="auto"/>
        <w:rPr>
          <w:rtl/>
        </w:rPr>
      </w:pPr>
      <w:r>
        <w:rPr>
          <w:rFonts w:hint="cs"/>
          <w:rtl/>
        </w:rPr>
        <w:t>הצעת החוק זהה לפ/1699/24 ולפיכך לא נבדקה על ידי הלשכה המשפטית של הכנסת.</w:t>
      </w:r>
    </w:p>
    <w:p w:rsidR="009C7E62" w:rsidP="009C7E62" w:rsidRDefault="009C7E62" w14:paraId="32B57679" w14:textId="7A97355F">
      <w:pPr>
        <w:pStyle w:val="Hesber"/>
        <w:spacing w:line="276" w:lineRule="auto"/>
        <w:rPr>
          <w:rtl/>
        </w:rPr>
      </w:pPr>
    </w:p>
    <w:p w:rsidRPr="005214FF" w:rsidR="009C7E62" w:rsidP="009C7E62" w:rsidRDefault="009C7E62" w14:paraId="15E7727A" w14:textId="77777777">
      <w:pPr>
        <w:pStyle w:val="Hesber"/>
        <w:rPr>
          <w:rtl/>
        </w:rPr>
      </w:pPr>
      <w:bookmarkStart w:name="_GoBack" w:id="8"/>
      <w:bookmarkEnd w:id="8"/>
    </w:p>
    <w:p>
      <w:pPr>
        <w:jc w:val="left"/>
        <w:spacing w:before="0" w:after="0" w:line="276" w:lineRule="auto"/>
      </w:pPr>
      <w:bookmarkStart w:name="selectedDocDateB" w:id="9"/>
      <w:bookmarkEnd w:id="9"/>
      <w:r/>
      <w:p>
        <w:pPr>
          <w:jc w:val="left"/>
          <w:spacing w:before="0" w:after="0" w:line="360" w:lineRule="auto"/>
        </w:pPr>
        <w:r>
          <w:rPr>
            <w:rtl/>
            <w:rFonts w:hint="cs" w:ascii="David" w:hAnsi="David" w:eastAsia="David" w:cs="David"/>
            <w:sz w:val="26"/>
            <w:szCs w:val="26"/>
          </w:rPr>
          <w:t>--------------------------------</w:t>
        </w:r>
      </w:p>
      <w:p>
        <w:pPr>
          <w:jc w:val="left"/>
          <w:spacing w:before="0" w:after="0" w:line="360" w:lineRule="auto"/>
        </w:pPr>
        <w:r>
          <w:rPr>
            <w:rtl/>
            <w:rFonts w:hint="cs" w:ascii="David" w:hAnsi="David" w:eastAsia="David" w:cs="David"/>
            <w:sz w:val="26"/>
            <w:szCs w:val="26"/>
          </w:rPr>
          <w:t>הוגשה ליו"ר הכנסת והסגנים</w:t>
        </w:r>
      </w:p>
      <w:p>
        <w:pPr>
          <w:jc w:val="left"/>
          <w:spacing w:before="0" w:after="0" w:line="360" w:lineRule="auto"/>
        </w:pPr>
        <w:r>
          <w:rPr>
            <w:rtl/>
            <w:rFonts w:hint="cs" w:ascii="David" w:hAnsi="David" w:eastAsia="David" w:cs="David"/>
            <w:sz w:val="26"/>
            <w:szCs w:val="26"/>
          </w:rPr>
          <w:t>והונחה על שולחן הכנסת ביום</w:t>
        </w:r>
      </w:p>
      <w:p>
        <w:pPr>
          <w:jc w:val="left"/>
          <w:spacing w:before="0" w:after="0" w:line="360" w:lineRule="auto"/>
        </w:pPr>
        <w:r>
          <w:rPr>
            <w:rtl/>
            <w:rFonts w:hint="cs" w:ascii="David" w:hAnsi="David" w:eastAsia="David" w:cs="David"/>
            <w:sz w:val="26"/>
            <w:szCs w:val="26"/>
          </w:rPr>
          <w:t xml:space="preserve">כ"ה בכסלו התשפ"ג</w:t>
          <w:t xml:space="preserve"> (19.12.2022) </w:t>
        </w:r>
      </w:p>
    </w:p>
    <w:sectPr w:rsidRPr="005214FF" w:rsidR="009C7E62"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61D7" w14:textId="53E83C1A"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9C7E62">
      <w:rPr>
        <w:rStyle w:val="ab"/>
        <w:noProof/>
        <w:rtl/>
      </w:rPr>
      <w:t>3</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14589EDC" w14:textId="77777777" w:rsidR="005214FF" w:rsidRDefault="005214FF" w:rsidP="005214FF">
      <w:pPr>
        <w:pStyle w:val="a4"/>
        <w:rPr>
          <w:rtl/>
        </w:rPr>
      </w:pPr>
      <w:r>
        <w:rPr>
          <w:rStyle w:val="a6"/>
        </w:rPr>
        <w:footnoteRef/>
      </w:r>
      <w:r>
        <w:rPr>
          <w:rtl/>
        </w:rPr>
        <w:t xml:space="preserve"> </w:t>
      </w:r>
      <w:r>
        <w:rPr>
          <w:rFonts w:hint="cs"/>
          <w:rtl/>
        </w:rPr>
        <w:t>ס"ח התשל"ז, עמ' 226.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A044F"/>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214FF"/>
    <w:rsid w:val="00553C9D"/>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C7E62"/>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F1AA2"/>
    <w:rsid w:val="00D142D3"/>
    <w:rsid w:val="00D17774"/>
    <w:rsid w:val="00D63620"/>
    <w:rsid w:val="00D8410D"/>
    <w:rsid w:val="00D867D7"/>
    <w:rsid w:val="00DB7060"/>
    <w:rsid w:val="00DE3153"/>
    <w:rsid w:val="00E05342"/>
    <w:rsid w:val="00E06736"/>
    <w:rsid w:val="00E13C27"/>
    <w:rsid w:val="00E33BBD"/>
    <w:rsid w:val="00E374F2"/>
    <w:rsid w:val="00E45103"/>
    <w:rsid w:val="00E55A60"/>
    <w:rsid w:val="00E62778"/>
    <w:rsid w:val="00E635A2"/>
    <w:rsid w:val="00E63D38"/>
    <w:rsid w:val="00E665B9"/>
    <w:rsid w:val="00E918AC"/>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57898AA0-2042-48C8-9797-EFE35116B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rsid w:val="005214FF"/>
    <w:rPr>
      <w:rFonts w:ascii="Arial" w:eastAsia="Arial Unicode MS" w:hAnsi="Arial" w:cs="David"/>
      <w:snapToGrid w:val="0"/>
      <w:color w:val="000000"/>
      <w:sz w:val="1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1D808-7D8F-4880-973A-B39861230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F4AFE3-9455-419C-8851-785A55F44517}">
  <ds:schemaRef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www.w3.org/XML/1998/namespace"/>
    <ds:schemaRef ds:uri="http://schemas.microsoft.com/office/infopath/2007/PartnerControls"/>
    <ds:schemaRef ds:uri="290d5b49-c690-4c6f-bbb9-1e50dab33eee"/>
    <ds:schemaRef ds:uri="http://purl.org/dc/terms/"/>
    <ds:schemaRef ds:uri="http://purl.org/dc/dcmitype/"/>
  </ds:schemaRefs>
</ds:datastoreItem>
</file>

<file path=customXml/itemProps3.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4.xml><?xml version="1.0" encoding="utf-8"?>
<ds:datastoreItem xmlns:ds="http://schemas.openxmlformats.org/officeDocument/2006/customXml" ds:itemID="{CE6C381D-4697-4090-9B8B-0768C114C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988</Words>
  <Characters>4940</Characters>
  <Application>Microsoft Office Word</Application>
  <DocSecurity>0</DocSecurity>
  <Lines>41</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דפנה ברנאי</cp:lastModifiedBy>
  <cp:revision>8</cp:revision>
  <cp:lastPrinted>2013-07-04T08:25:00Z</cp:lastPrinted>
  <dcterms:created xsi:type="dcterms:W3CDTF">2015-04-20T09:58:00Z</dcterms:created>
  <dcterms:modified xsi:type="dcterms:W3CDTF">2022-12-01T13:06:00Z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2196751</vt:r8>
  </property>
</Properties>
</file>